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22CB2" w14:textId="77777777" w:rsidR="00EB38CE" w:rsidRDefault="00A158FB">
      <w:pPr>
        <w:pStyle w:val="Body"/>
        <w:suppressAutoHyphens/>
        <w:spacing w:line="247" w:lineRule="auto"/>
        <w:rPr>
          <w:rFonts w:ascii="Calibri" w:eastAsia="Calibri" w:hAnsi="Calibri" w:cs="Calibri"/>
        </w:rPr>
      </w:pPr>
      <w:bookmarkStart w:id="0" w:name="_Hlk169005624"/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B38A8EC" wp14:editId="47B5682F">
                <wp:simplePos x="0" y="0"/>
                <wp:positionH relativeFrom="page">
                  <wp:posOffset>807081</wp:posOffset>
                </wp:positionH>
                <wp:positionV relativeFrom="line">
                  <wp:posOffset>19050</wp:posOffset>
                </wp:positionV>
                <wp:extent cx="5838829" cy="1247775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9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920735" w14:textId="77777777" w:rsidR="00EB38CE" w:rsidRDefault="00A158FB">
                            <w:pPr>
                              <w:pStyle w:val="Body"/>
                              <w:rPr>
                                <w:rFonts w:ascii="Poppins Bold" w:eastAsia="Poppins Bold" w:hAnsi="Poppins Bold" w:cs="Poppins Bold"/>
                                <w:color w:val="6E6259"/>
                                <w:sz w:val="28"/>
                                <w:szCs w:val="28"/>
                                <w:u w:color="6E6259"/>
                              </w:rPr>
                            </w:pPr>
                            <w:r>
                              <w:rPr>
                                <w:rFonts w:ascii="Poppins Bold" w:hAnsi="Poppins Bold"/>
                                <w:color w:val="6E6259"/>
                                <w:sz w:val="28"/>
                                <w:szCs w:val="28"/>
                                <w:u w:color="6E6259"/>
                              </w:rPr>
                              <w:t>Trustee positions</w:t>
                            </w:r>
                          </w:p>
                          <w:p w14:paraId="242B59D7" w14:textId="77777777" w:rsidR="00EB38CE" w:rsidRDefault="00A158FB">
                            <w:pPr>
                              <w:pStyle w:val="Body"/>
                            </w:pPr>
                            <w:r>
                              <w:rPr>
                                <w:rFonts w:ascii="Poppins Regular" w:eastAsia="Poppins Regular" w:hAnsi="Poppins Regular" w:cs="Poppins Regular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Poppins Regular" w:hAnsi="Poppins Regular"/>
                                <w:color w:val="201547"/>
                                <w:sz w:val="40"/>
                                <w:szCs w:val="40"/>
                                <w:u w:color="201547"/>
                                <w:lang w:val="en-US"/>
                              </w:rPr>
                              <w:t>Automatic disqualification declaration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38A8E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63.55pt;margin-top:1.5pt;width:459.75pt;height:98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" stroked="f" strokeweight="1pt">
                <v:stroke miterlimit="4"/>
                <v:textbox inset="1.27mm,1.27mm,1.27mm,1.27mm">
                  <w:txbxContent>
                    <w:p w14:paraId="53920735" w14:textId="77777777" w:rsidR="00EB38CE" w:rsidRDefault="00A158FB">
                      <w:pPr>
                        <w:pStyle w:val="Body"/>
                        <w:rPr>
                          <w:rFonts w:ascii="Poppins Bold" w:eastAsia="Poppins Bold" w:hAnsi="Poppins Bold" w:cs="Poppins Bold"/>
                          <w:color w:val="6E6259"/>
                          <w:sz w:val="28"/>
                          <w:szCs w:val="28"/>
                          <w:u w:color="6E6259"/>
                        </w:rPr>
                      </w:pPr>
                      <w:r>
                        <w:rPr>
                          <w:rFonts w:ascii="Poppins Bold" w:hAnsi="Poppins Bold"/>
                          <w:color w:val="6E6259"/>
                          <w:sz w:val="28"/>
                          <w:szCs w:val="28"/>
                          <w:u w:color="6E6259"/>
                        </w:rPr>
                        <w:t>Trustee positions</w:t>
                      </w:r>
                    </w:p>
                    <w:p w14:paraId="242B59D7" w14:textId="77777777" w:rsidR="00EB38CE" w:rsidRDefault="00A158FB">
                      <w:pPr>
                        <w:pStyle w:val="Body"/>
                      </w:pPr>
                      <w:r>
                        <w:rPr>
                          <w:rFonts w:ascii="Poppins Regular" w:eastAsia="Poppins Regular" w:hAnsi="Poppins Regular" w:cs="Poppins Regular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Poppins Regular" w:hAnsi="Poppins Regular"/>
                          <w:color w:val="201547"/>
                          <w:sz w:val="40"/>
                          <w:szCs w:val="40"/>
                          <w:u w:color="201547"/>
                          <w:lang w:val="en-US"/>
                        </w:rPr>
                        <w:t>Automatic disqualification declaration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1" w:name="_Hlk169005727"/>
    </w:p>
    <w:p w14:paraId="359982E1" w14:textId="77777777" w:rsidR="00EB38CE" w:rsidRDefault="00EB38CE">
      <w:pPr>
        <w:pStyle w:val="Body"/>
        <w:suppressAutoHyphens/>
        <w:spacing w:line="247" w:lineRule="auto"/>
        <w:rPr>
          <w:rFonts w:ascii="Calibri" w:eastAsia="Calibri" w:hAnsi="Calibri" w:cs="Calibri"/>
        </w:rPr>
      </w:pPr>
    </w:p>
    <w:p w14:paraId="5D3ECB63" w14:textId="77777777" w:rsidR="00EB38CE" w:rsidRDefault="00EB38CE">
      <w:pPr>
        <w:pStyle w:val="Body"/>
        <w:suppressAutoHyphens/>
        <w:spacing w:line="247" w:lineRule="auto"/>
        <w:rPr>
          <w:rFonts w:ascii="Calibri" w:eastAsia="Calibri" w:hAnsi="Calibri" w:cs="Calibri"/>
        </w:rPr>
      </w:pPr>
    </w:p>
    <w:p w14:paraId="4D0D8ECC" w14:textId="77777777" w:rsidR="00EB38CE" w:rsidRDefault="00EB38CE">
      <w:pPr>
        <w:pStyle w:val="Body"/>
        <w:suppressAutoHyphens/>
        <w:spacing w:line="247" w:lineRule="auto"/>
        <w:rPr>
          <w:rFonts w:ascii="Poppins Regular" w:eastAsia="Poppins Regular" w:hAnsi="Poppins Regular" w:cs="Poppins Regular"/>
          <w:color w:val="201547"/>
          <w:sz w:val="24"/>
          <w:szCs w:val="24"/>
          <w:u w:color="201547"/>
        </w:rPr>
      </w:pPr>
    </w:p>
    <w:p w14:paraId="1C2C0F4A" w14:textId="77777777" w:rsidR="00EB38CE" w:rsidRDefault="00EB38CE">
      <w:pPr>
        <w:pStyle w:val="Body"/>
        <w:suppressAutoHyphens/>
        <w:spacing w:line="247" w:lineRule="auto"/>
        <w:rPr>
          <w:rFonts w:ascii="Poppins Regular" w:eastAsia="Poppins Regular" w:hAnsi="Poppins Regular" w:cs="Poppins Regular"/>
          <w:color w:val="201547"/>
          <w:sz w:val="24"/>
          <w:szCs w:val="24"/>
          <w:u w:color="201547"/>
        </w:rPr>
      </w:pPr>
    </w:p>
    <w:p w14:paraId="615341ED" w14:textId="77777777" w:rsidR="00EB38CE" w:rsidRDefault="00A158FB">
      <w:pPr>
        <w:pStyle w:val="Body"/>
        <w:suppressAutoHyphens/>
        <w:spacing w:line="247" w:lineRule="auto"/>
        <w:rPr>
          <w:rFonts w:ascii="Poppins Regular" w:eastAsia="Poppins Regular" w:hAnsi="Poppins Regular" w:cs="Poppins Regular"/>
          <w:color w:val="201547"/>
          <w:sz w:val="24"/>
          <w:szCs w:val="24"/>
          <w:u w:color="201547"/>
        </w:rPr>
      </w:pPr>
      <w:r>
        <w:rPr>
          <w:rFonts w:ascii="Poppins Regular" w:hAnsi="Poppins Regular"/>
          <w:color w:val="201547"/>
          <w:sz w:val="24"/>
          <w:szCs w:val="24"/>
          <w:u w:color="201547"/>
          <w:lang w:val="en-US"/>
        </w:rPr>
        <w:t>Completing the declaration</w:t>
      </w:r>
    </w:p>
    <w:p w14:paraId="52151C34" w14:textId="5612C7D9" w:rsidR="00EB38CE" w:rsidRDefault="00A158FB">
      <w:pPr>
        <w:pStyle w:val="Body"/>
        <w:suppressAutoHyphens/>
        <w:spacing w:line="247" w:lineRule="auto"/>
        <w:rPr>
          <w:rStyle w:val="None"/>
          <w:rFonts w:ascii="Calibri" w:eastAsia="Calibri" w:hAnsi="Calibri" w:cs="Calibri"/>
        </w:rPr>
      </w:pPr>
      <w:r>
        <w:rPr>
          <w:rFonts w:ascii="Poppins Regular" w:hAnsi="Poppins Regular"/>
          <w:lang w:val="en-US"/>
        </w:rPr>
        <w:t xml:space="preserve">Read the automatic disqualification </w:t>
      </w:r>
      <w:hyperlink r:id="rId7" w:history="1">
        <w:r>
          <w:rPr>
            <w:rStyle w:val="Hyperlink0"/>
            <w:lang w:val="it-IT"/>
          </w:rPr>
          <w:t>guidance</w:t>
        </w:r>
      </w:hyperlink>
      <w:r>
        <w:rPr>
          <w:rStyle w:val="None"/>
          <w:rFonts w:ascii="Poppins Regular" w:eastAsia="Poppins Regular" w:hAnsi="Poppins Regular" w:cs="Poppins Regular"/>
          <w:color w:val="201547"/>
          <w:u w:val="single" w:color="201547"/>
          <w:vertAlign w:val="superscript"/>
        </w:rPr>
        <w:footnoteReference w:id="2"/>
      </w:r>
      <w:r>
        <w:rPr>
          <w:rStyle w:val="None"/>
          <w:rFonts w:ascii="Poppins Regular" w:hAnsi="Poppins Regular"/>
          <w:lang w:val="en-US"/>
        </w:rPr>
        <w:t xml:space="preserve"> (August 2018) </w:t>
      </w:r>
      <w:r>
        <w:rPr>
          <w:rStyle w:val="None"/>
          <w:rFonts w:ascii="Poppins Regular" w:hAnsi="Poppins Regular"/>
          <w:lang w:val="en-US"/>
        </w:rPr>
        <w:t xml:space="preserve">to decide if you will be disqualified from applying. </w:t>
      </w:r>
    </w:p>
    <w:p w14:paraId="0EE7E171" w14:textId="78CF2BFB" w:rsidR="00EB38CE" w:rsidRDefault="00A158FB">
      <w:pPr>
        <w:pStyle w:val="Body"/>
        <w:suppressAutoHyphens/>
        <w:spacing w:line="247" w:lineRule="auto"/>
        <w:rPr>
          <w:rStyle w:val="None"/>
          <w:rFonts w:ascii="Poppins Regular" w:eastAsia="Poppins Regular" w:hAnsi="Poppins Regular" w:cs="Poppins Regular"/>
        </w:rPr>
      </w:pPr>
      <w:r>
        <w:rPr>
          <w:rStyle w:val="None"/>
          <w:rFonts w:ascii="Poppins Regular" w:hAnsi="Poppins Regular"/>
          <w:lang w:val="en-US"/>
        </w:rPr>
        <w:t>Complete and sign this declaration to confirm that you will not be disqualified</w:t>
      </w:r>
      <w:r>
        <w:rPr>
          <w:rStyle w:val="None"/>
          <w:rFonts w:ascii="Poppins Regular" w:hAnsi="Poppins Regular"/>
          <w:lang w:val="en-US"/>
        </w:rPr>
        <w:t xml:space="preserve">. </w:t>
      </w:r>
    </w:p>
    <w:p w14:paraId="70C06AC3" w14:textId="77777777" w:rsidR="00EB38CE" w:rsidRDefault="00A158FB">
      <w:pPr>
        <w:pStyle w:val="Body"/>
        <w:suppressAutoHyphens/>
        <w:spacing w:line="247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Poppins Regular" w:hAnsi="Poppins Regular"/>
          <w:lang w:val="en-US"/>
        </w:rPr>
        <w:t xml:space="preserve">If one of the disqualification reasons does apply, you may be able to </w:t>
      </w:r>
      <w:hyperlink r:id="rId8" w:history="1">
        <w:r>
          <w:rPr>
            <w:rStyle w:val="Hyperlink0"/>
            <w:lang w:val="en-US"/>
          </w:rPr>
          <w:t>apply for a waiver from the Charity Commission</w:t>
        </w:r>
      </w:hyperlink>
      <w:r>
        <w:rPr>
          <w:rStyle w:val="None"/>
          <w:rFonts w:ascii="Poppins Regular" w:eastAsia="Poppins Regular" w:hAnsi="Poppins Regular" w:cs="Poppins Regular"/>
          <w:color w:val="201547"/>
          <w:u w:val="single" w:color="201547"/>
          <w:vertAlign w:val="superscript"/>
        </w:rPr>
        <w:footnoteReference w:id="3"/>
      </w:r>
      <w:r>
        <w:rPr>
          <w:rStyle w:val="None"/>
          <w:rFonts w:ascii="Poppins Regular" w:hAnsi="Poppins Regular"/>
          <w:lang w:val="en-US"/>
        </w:rPr>
        <w:t xml:space="preserve"> which will allow you to take up or continue to act as a trustee. </w:t>
      </w:r>
    </w:p>
    <w:p w14:paraId="20CCBC51" w14:textId="77777777" w:rsidR="00EB38CE" w:rsidRDefault="00A158FB">
      <w:pPr>
        <w:pStyle w:val="Body"/>
        <w:suppressAutoHyphens/>
        <w:spacing w:line="247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Poppins Regular" w:hAnsi="Poppins Regular"/>
          <w:lang w:val="en-US"/>
        </w:rPr>
        <w:t>Pass a copy of the completed declaration to the trustees for the charity</w:t>
      </w:r>
      <w:r>
        <w:rPr>
          <w:rStyle w:val="None"/>
          <w:rFonts w:ascii="Poppins Regular" w:hAnsi="Poppins Regular"/>
          <w:lang w:val="en-US"/>
        </w:rPr>
        <w:t>’</w:t>
      </w:r>
      <w:r>
        <w:rPr>
          <w:rStyle w:val="None"/>
          <w:rFonts w:ascii="Poppins Regular" w:hAnsi="Poppins Regular"/>
          <w:lang w:val="en-US"/>
        </w:rPr>
        <w:t xml:space="preserve">s records (the </w:t>
      </w:r>
      <w:r>
        <w:rPr>
          <w:rStyle w:val="None"/>
          <w:rFonts w:ascii="Poppins Regular" w:hAnsi="Poppins Regular"/>
          <w:lang w:val="en-US"/>
        </w:rPr>
        <w:t>declaration should not be sent to the Charity Commission).</w:t>
      </w:r>
      <w:r>
        <w:rPr>
          <w:rStyle w:val="None"/>
          <w:rFonts w:ascii="Calibri" w:eastAsia="Calibri" w:hAnsi="Calibri" w:cs="Calibri"/>
          <w:sz w:val="24"/>
          <w:szCs w:val="24"/>
        </w:rPr>
        <w:br/>
      </w:r>
    </w:p>
    <w:p w14:paraId="69614478" w14:textId="77777777" w:rsidR="00EB38CE" w:rsidRDefault="00A158FB">
      <w:pPr>
        <w:pStyle w:val="Body"/>
        <w:suppressAutoHyphens/>
        <w:spacing w:after="0" w:line="240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56AB60F" wp14:editId="39D70EE7">
                <wp:simplePos x="0" y="0"/>
                <wp:positionH relativeFrom="page">
                  <wp:posOffset>457200</wp:posOffset>
                </wp:positionH>
                <wp:positionV relativeFrom="line">
                  <wp:posOffset>13335</wp:posOffset>
                </wp:positionV>
                <wp:extent cx="6581775" cy="3324225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33242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8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8138C3F" w14:textId="77777777" w:rsidR="00EB38CE" w:rsidRDefault="00A158FB">
                            <w:pPr>
                              <w:pStyle w:val="Body"/>
                              <w:jc w:val="center"/>
                              <w:rPr>
                                <w:rStyle w:val="None"/>
                                <w:rFonts w:ascii="Poppins Regular" w:eastAsia="Poppins Regular" w:hAnsi="Poppins Regular" w:cs="Poppins Regular"/>
                                <w:color w:val="201547"/>
                                <w:sz w:val="24"/>
                                <w:szCs w:val="24"/>
                                <w:u w:color="201547"/>
                              </w:rPr>
                            </w:pPr>
                            <w:r>
                              <w:rPr>
                                <w:rStyle w:val="None"/>
                                <w:rFonts w:ascii="Poppins Regular" w:hAnsi="Poppins Regular"/>
                                <w:color w:val="201547"/>
                                <w:sz w:val="24"/>
                                <w:szCs w:val="24"/>
                                <w:u w:color="201547"/>
                              </w:rPr>
                              <w:t>Declaration</w:t>
                            </w:r>
                          </w:p>
                          <w:p w14:paraId="20F85436" w14:textId="77777777" w:rsidR="00EB38CE" w:rsidRDefault="00A158FB">
                            <w:pPr>
                              <w:pStyle w:val="Body"/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</w:pPr>
                            <w:r>
                              <w:rPr>
                                <w:rStyle w:val="None"/>
                                <w:rFonts w:ascii="Poppins Regular" w:hAnsi="Poppins Regular"/>
                                <w:lang w:val="en-US"/>
                              </w:rPr>
                              <w:t>I declare that:</w:t>
                            </w:r>
                          </w:p>
                          <w:p w14:paraId="71C350E3" w14:textId="77777777" w:rsidR="00EB38CE" w:rsidRDefault="00A158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7" w:lineRule="auto"/>
                              <w:rPr>
                                <w:rFonts w:ascii="Poppins Regular" w:hAnsi="Poppins Regular"/>
                              </w:rPr>
                            </w:pPr>
                            <w:r>
                              <w:rPr>
                                <w:rStyle w:val="None"/>
                                <w:rFonts w:ascii="Poppins Regular" w:hAnsi="Poppins Regular"/>
                              </w:rPr>
                              <w:t>I am not disqualified from acting as a trustee from 1 August 2018; and</w:t>
                            </w:r>
                          </w:p>
                          <w:p w14:paraId="6D031A49" w14:textId="77777777" w:rsidR="00EB38CE" w:rsidRDefault="00A158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7" w:lineRule="auto"/>
                              <w:rPr>
                                <w:rFonts w:ascii="Poppins Regular" w:hAnsi="Poppins Regular"/>
                              </w:rPr>
                            </w:pPr>
                            <w:r>
                              <w:rPr>
                                <w:rStyle w:val="None"/>
                                <w:rFonts w:ascii="Poppins Regular" w:hAnsi="Poppins Regular"/>
                              </w:rPr>
                              <w:t xml:space="preserve">I will inform the trustees promptly if, after the date of this declaration, one or more of </w:t>
                            </w:r>
                            <w:r>
                              <w:rPr>
                                <w:rStyle w:val="None"/>
                                <w:rFonts w:ascii="Poppins Regular" w:hAnsi="Poppins Regular"/>
                              </w:rPr>
                              <w:t>the disqualification reasons applies to me.</w:t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br/>
                            </w:r>
                          </w:p>
                          <w:p w14:paraId="2B144C3F" w14:textId="77777777" w:rsidR="00EB38CE" w:rsidRDefault="00A158FB">
                            <w:pPr>
                              <w:pStyle w:val="Body"/>
                            </w:pPr>
                            <w:r>
                              <w:rPr>
                                <w:rStyle w:val="None"/>
                                <w:rFonts w:ascii="Poppins Regular" w:hAnsi="Poppins Regular"/>
                                <w:color w:val="201547"/>
                                <w:u w:color="201547"/>
                                <w:lang w:val="de-DE"/>
                              </w:rPr>
                              <w:t>Full Name:</w:t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br/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tab/>
                            </w:r>
                          </w:p>
                          <w:p w14:paraId="44BDCBC0" w14:textId="77777777" w:rsidR="00EB38CE" w:rsidRDefault="00A158FB">
                            <w:pPr>
                              <w:pStyle w:val="Body"/>
                            </w:pPr>
                            <w:r>
                              <w:rPr>
                                <w:rStyle w:val="None"/>
                                <w:rFonts w:ascii="Poppins Regular" w:hAnsi="Poppins Regular"/>
                                <w:color w:val="201547"/>
                                <w:u w:color="201547"/>
                                <w:lang w:val="en-US"/>
                              </w:rPr>
                              <w:t>Signature:</w:t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Poppins Regular" w:hAnsi="Poppins Regular"/>
                                <w:color w:val="201547"/>
                                <w:u w:color="201547"/>
                                <w:lang w:val="de-DE"/>
                              </w:rPr>
                              <w:t>Date:</w:t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br/>
                            </w:r>
                          </w:p>
                          <w:p w14:paraId="403E6DCD" w14:textId="77777777" w:rsidR="00EB38CE" w:rsidRDefault="00A158FB">
                            <w:pPr>
                              <w:pStyle w:val="Body"/>
                            </w:pPr>
                            <w:r>
                              <w:rPr>
                                <w:rStyle w:val="None"/>
                                <w:rFonts w:ascii="Poppins Regular" w:hAnsi="Poppins Regular"/>
                                <w:color w:val="201547"/>
                                <w:u w:color="201547"/>
                                <w:lang w:val="en-US"/>
                              </w:rPr>
                              <w:t>Charity Name and Number: Healthwatch Milton Keynes CIO - 1166148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AB60F" id="_x0000_s1027" type="#_x0000_t202" alt="Text Box 2" style="position:absolute;margin-left:36pt;margin-top:1.05pt;width:518.25pt;height:261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" fillcolor="#f2f2f2" strokecolor="#bfbfbf" strokeweight=".26467mm">
                <v:stroke joinstyle="round"/>
                <v:textbox inset="1.27mm,1.27mm,1.27mm,1.27mm">
                  <w:txbxContent>
                    <w:p w14:paraId="78138C3F" w14:textId="77777777" w:rsidR="00EB38CE" w:rsidRDefault="00A158FB">
                      <w:pPr>
                        <w:pStyle w:val="Body"/>
                        <w:jc w:val="center"/>
                        <w:rPr>
                          <w:rStyle w:val="None"/>
                          <w:rFonts w:ascii="Poppins Regular" w:eastAsia="Poppins Regular" w:hAnsi="Poppins Regular" w:cs="Poppins Regular"/>
                          <w:color w:val="201547"/>
                          <w:sz w:val="24"/>
                          <w:szCs w:val="24"/>
                          <w:u w:color="201547"/>
                        </w:rPr>
                      </w:pPr>
                      <w:r>
                        <w:rPr>
                          <w:rStyle w:val="None"/>
                          <w:rFonts w:ascii="Poppins Regular" w:hAnsi="Poppins Regular"/>
                          <w:color w:val="201547"/>
                          <w:sz w:val="24"/>
                          <w:szCs w:val="24"/>
                          <w:u w:color="201547"/>
                        </w:rPr>
                        <w:t>Declaration</w:t>
                      </w:r>
                    </w:p>
                    <w:p w14:paraId="20F85436" w14:textId="77777777" w:rsidR="00EB38CE" w:rsidRDefault="00A158FB">
                      <w:pPr>
                        <w:pStyle w:val="Body"/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</w:pPr>
                      <w:r>
                        <w:rPr>
                          <w:rStyle w:val="None"/>
                          <w:rFonts w:ascii="Poppins Regular" w:hAnsi="Poppins Regular"/>
                          <w:lang w:val="en-US"/>
                        </w:rPr>
                        <w:t>I declare that:</w:t>
                      </w:r>
                    </w:p>
                    <w:p w14:paraId="71C350E3" w14:textId="77777777" w:rsidR="00EB38CE" w:rsidRDefault="00A158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spacing w:line="247" w:lineRule="auto"/>
                        <w:rPr>
                          <w:rFonts w:ascii="Poppins Regular" w:hAnsi="Poppins Regular"/>
                        </w:rPr>
                      </w:pPr>
                      <w:r>
                        <w:rPr>
                          <w:rStyle w:val="None"/>
                          <w:rFonts w:ascii="Poppins Regular" w:hAnsi="Poppins Regular"/>
                        </w:rPr>
                        <w:t>I am not disqualified from acting as a trustee from 1 August 2018; and</w:t>
                      </w:r>
                    </w:p>
                    <w:p w14:paraId="6D031A49" w14:textId="77777777" w:rsidR="00EB38CE" w:rsidRDefault="00A158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spacing w:line="247" w:lineRule="auto"/>
                        <w:rPr>
                          <w:rFonts w:ascii="Poppins Regular" w:hAnsi="Poppins Regular"/>
                        </w:rPr>
                      </w:pPr>
                      <w:r>
                        <w:rPr>
                          <w:rStyle w:val="None"/>
                          <w:rFonts w:ascii="Poppins Regular" w:hAnsi="Poppins Regular"/>
                        </w:rPr>
                        <w:t xml:space="preserve">I will inform the trustees promptly if, after the date of this declaration, one or more of </w:t>
                      </w:r>
                      <w:r>
                        <w:rPr>
                          <w:rStyle w:val="None"/>
                          <w:rFonts w:ascii="Poppins Regular" w:hAnsi="Poppins Regular"/>
                        </w:rPr>
                        <w:t>the disqualification reasons applies to me.</w:t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br/>
                      </w:r>
                    </w:p>
                    <w:p w14:paraId="2B144C3F" w14:textId="77777777" w:rsidR="00EB38CE" w:rsidRDefault="00A158FB">
                      <w:pPr>
                        <w:pStyle w:val="Body"/>
                      </w:pPr>
                      <w:r>
                        <w:rPr>
                          <w:rStyle w:val="None"/>
                          <w:rFonts w:ascii="Poppins Regular" w:hAnsi="Poppins Regular"/>
                          <w:color w:val="201547"/>
                          <w:u w:color="201547"/>
                          <w:lang w:val="de-DE"/>
                        </w:rPr>
                        <w:t>Full Name:</w:t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br/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tab/>
                      </w:r>
                    </w:p>
                    <w:p w14:paraId="44BDCBC0" w14:textId="77777777" w:rsidR="00EB38CE" w:rsidRDefault="00A158FB">
                      <w:pPr>
                        <w:pStyle w:val="Body"/>
                      </w:pPr>
                      <w:r>
                        <w:rPr>
                          <w:rStyle w:val="None"/>
                          <w:rFonts w:ascii="Poppins Regular" w:hAnsi="Poppins Regular"/>
                          <w:color w:val="201547"/>
                          <w:u w:color="201547"/>
                          <w:lang w:val="en-US"/>
                        </w:rPr>
                        <w:t>Signature:</w:t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tab/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tab/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tab/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tab/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tab/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tab/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tab/>
                      </w:r>
                      <w:r>
                        <w:rPr>
                          <w:rStyle w:val="None"/>
                          <w:rFonts w:ascii="Poppins Regular" w:hAnsi="Poppins Regular"/>
                          <w:color w:val="201547"/>
                          <w:u w:color="201547"/>
                          <w:lang w:val="de-DE"/>
                        </w:rPr>
                        <w:t>Date:</w:t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br/>
                      </w:r>
                    </w:p>
                    <w:p w14:paraId="403E6DCD" w14:textId="77777777" w:rsidR="00EB38CE" w:rsidRDefault="00A158FB">
                      <w:pPr>
                        <w:pStyle w:val="Body"/>
                      </w:pPr>
                      <w:r>
                        <w:rPr>
                          <w:rStyle w:val="None"/>
                          <w:rFonts w:ascii="Poppins Regular" w:hAnsi="Poppins Regular"/>
                          <w:color w:val="201547"/>
                          <w:u w:color="201547"/>
                          <w:lang w:val="en-US"/>
                        </w:rPr>
                        <w:t>Charity Name and Number: Healthwatch Milton Keynes CIO - 1166148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538C8FA7" w14:textId="77777777" w:rsidR="00EB38CE" w:rsidRDefault="00EB38CE">
      <w:pPr>
        <w:pStyle w:val="Body"/>
        <w:suppressAutoHyphens/>
        <w:spacing w:after="0" w:line="240" w:lineRule="auto"/>
        <w:rPr>
          <w:rStyle w:val="None"/>
          <w:rFonts w:ascii="Arial" w:eastAsia="Arial" w:hAnsi="Arial" w:cs="Arial"/>
          <w:sz w:val="24"/>
          <w:szCs w:val="24"/>
        </w:rPr>
      </w:pPr>
    </w:p>
    <w:p w14:paraId="526FCE43" w14:textId="77777777" w:rsidR="00EB38CE" w:rsidRDefault="00EB38CE">
      <w:pPr>
        <w:pStyle w:val="Body"/>
        <w:suppressAutoHyphens/>
        <w:spacing w:line="247" w:lineRule="auto"/>
        <w:rPr>
          <w:rStyle w:val="None"/>
          <w:rFonts w:ascii="Arial" w:eastAsia="Arial" w:hAnsi="Arial" w:cs="Arial"/>
        </w:rPr>
      </w:pPr>
    </w:p>
    <w:p w14:paraId="2648BCF4" w14:textId="77777777" w:rsidR="00EB38CE" w:rsidRDefault="00EB38CE">
      <w:pPr>
        <w:pStyle w:val="Body"/>
        <w:suppressAutoHyphens/>
        <w:spacing w:line="247" w:lineRule="auto"/>
        <w:rPr>
          <w:rStyle w:val="None"/>
          <w:rFonts w:ascii="Arial" w:eastAsia="Arial" w:hAnsi="Arial" w:cs="Arial"/>
        </w:rPr>
      </w:pPr>
    </w:p>
    <w:p w14:paraId="4F85A399" w14:textId="77777777" w:rsidR="00EB38CE" w:rsidRDefault="00EB38CE">
      <w:pPr>
        <w:pStyle w:val="Body"/>
        <w:suppressAutoHyphens/>
        <w:spacing w:line="247" w:lineRule="auto"/>
        <w:rPr>
          <w:rStyle w:val="None"/>
          <w:rFonts w:ascii="Arial" w:eastAsia="Arial" w:hAnsi="Arial" w:cs="Arial"/>
        </w:rPr>
      </w:pPr>
    </w:p>
    <w:p w14:paraId="54E1FEF2" w14:textId="77777777" w:rsidR="00EB38CE" w:rsidRDefault="00EB38CE">
      <w:pPr>
        <w:pStyle w:val="Body"/>
        <w:suppressAutoHyphens/>
        <w:spacing w:line="247" w:lineRule="auto"/>
        <w:jc w:val="right"/>
        <w:rPr>
          <w:rStyle w:val="None"/>
          <w:rFonts w:ascii="Arial" w:eastAsia="Arial" w:hAnsi="Arial" w:cs="Arial"/>
        </w:rPr>
      </w:pPr>
    </w:p>
    <w:p w14:paraId="7CFE65FF" w14:textId="77777777" w:rsidR="00EB38CE" w:rsidRDefault="00EB38CE">
      <w:pPr>
        <w:pStyle w:val="Body"/>
        <w:pageBreakBefore/>
        <w:suppressAutoHyphens/>
        <w:spacing w:line="247" w:lineRule="auto"/>
        <w:rPr>
          <w:rStyle w:val="None"/>
          <w:rFonts w:ascii="Poppins Regular" w:eastAsia="Poppins Regular" w:hAnsi="Poppins Regular" w:cs="Poppins Regular"/>
          <w:sz w:val="20"/>
          <w:szCs w:val="20"/>
        </w:rPr>
      </w:pPr>
    </w:p>
    <w:p w14:paraId="469BF0E8" w14:textId="77777777" w:rsidR="00EB38CE" w:rsidRDefault="00A158FB">
      <w:pPr>
        <w:pStyle w:val="Body"/>
        <w:suppressAutoHyphens/>
        <w:spacing w:line="247" w:lineRule="auto"/>
        <w:jc w:val="center"/>
        <w:rPr>
          <w:rStyle w:val="None"/>
          <w:rFonts w:ascii="Poppins Bold" w:eastAsia="Poppins Bold" w:hAnsi="Poppins Bold" w:cs="Poppins Bold"/>
          <w:sz w:val="18"/>
          <w:szCs w:val="18"/>
        </w:rPr>
      </w:pPr>
      <w:r>
        <w:rPr>
          <w:rStyle w:val="None"/>
          <w:rFonts w:ascii="Poppins Bold" w:hAnsi="Poppins Bold"/>
          <w:sz w:val="18"/>
          <w:szCs w:val="18"/>
          <w:lang w:val="en-US"/>
        </w:rPr>
        <w:t xml:space="preserve">Annex A </w:t>
      </w:r>
      <w:r>
        <w:rPr>
          <w:rStyle w:val="None"/>
          <w:rFonts w:ascii="Poppins Bold" w:hAnsi="Poppins Bold"/>
          <w:sz w:val="18"/>
          <w:szCs w:val="18"/>
          <w:lang w:val="en-US"/>
        </w:rPr>
        <w:t xml:space="preserve">– </w:t>
      </w:r>
      <w:r>
        <w:rPr>
          <w:rStyle w:val="None"/>
          <w:rFonts w:ascii="Poppins Bold" w:hAnsi="Poppins Bold"/>
          <w:sz w:val="18"/>
          <w:szCs w:val="18"/>
          <w:lang w:val="en-US"/>
        </w:rPr>
        <w:t>Disqualification Reasons</w:t>
      </w:r>
    </w:p>
    <w:p w14:paraId="6775C520" w14:textId="77777777" w:rsidR="00EB38CE" w:rsidRDefault="00A158FB">
      <w:pPr>
        <w:pStyle w:val="Body"/>
        <w:suppressAutoHyphens/>
        <w:spacing w:line="247" w:lineRule="auto"/>
        <w:rPr>
          <w:rStyle w:val="None"/>
          <w:rFonts w:ascii="Poppins Regular" w:eastAsia="Poppins Regular" w:hAnsi="Poppins Regular" w:cs="Poppins Regular"/>
          <w:sz w:val="18"/>
          <w:szCs w:val="18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After 1 August 2018, you will be automatically 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>disqualified from acting as a trustee if:</w:t>
      </w:r>
    </w:p>
    <w:p w14:paraId="2C185C74" w14:textId="77777777" w:rsidR="00EB38CE" w:rsidRDefault="00A158FB">
      <w:pPr>
        <w:pStyle w:val="Body"/>
        <w:numPr>
          <w:ilvl w:val="0"/>
          <w:numId w:val="3"/>
        </w:numPr>
        <w:suppressAutoHyphens/>
        <w:spacing w:line="247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have an </w:t>
      </w:r>
      <w:r>
        <w:rPr>
          <w:rStyle w:val="None"/>
          <w:rFonts w:ascii="Poppins Bold" w:hAnsi="Poppins Bold"/>
          <w:sz w:val="18"/>
          <w:szCs w:val="18"/>
          <w:lang w:val="en-US"/>
        </w:rPr>
        <w:t>unspent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conviction for any of the following </w:t>
      </w:r>
    </w:p>
    <w:p w14:paraId="3D9FA356" w14:textId="77777777" w:rsidR="00EB38CE" w:rsidRDefault="00A158FB">
      <w:pPr>
        <w:pStyle w:val="Body"/>
        <w:numPr>
          <w:ilvl w:val="0"/>
          <w:numId w:val="5"/>
        </w:numPr>
        <w:suppressAutoHyphens/>
        <w:spacing w:line="247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an offence involving </w:t>
      </w:r>
      <w:r>
        <w:rPr>
          <w:rStyle w:val="None"/>
          <w:rFonts w:ascii="Poppins Bold" w:hAnsi="Poppins Bold"/>
          <w:sz w:val="18"/>
          <w:szCs w:val="18"/>
          <w:lang w:val="en-US"/>
        </w:rPr>
        <w:t>deception or dishonesty</w:t>
      </w:r>
    </w:p>
    <w:p w14:paraId="3049E1E0" w14:textId="77777777" w:rsidR="00EB38CE" w:rsidRDefault="00A158FB">
      <w:pPr>
        <w:pStyle w:val="Body"/>
        <w:numPr>
          <w:ilvl w:val="0"/>
          <w:numId w:val="5"/>
        </w:numPr>
        <w:suppressAutoHyphens/>
        <w:spacing w:line="247" w:lineRule="auto"/>
        <w:rPr>
          <w:rFonts w:ascii="Calibri" w:hAnsi="Calibri"/>
          <w:sz w:val="18"/>
          <w:szCs w:val="18"/>
        </w:rPr>
      </w:pPr>
      <w:r>
        <w:rPr>
          <w:rStyle w:val="None"/>
          <w:rFonts w:ascii="Poppins Regular" w:hAnsi="Poppins Regular"/>
          <w:sz w:val="18"/>
          <w:szCs w:val="18"/>
        </w:rPr>
        <w:t xml:space="preserve">a </w:t>
      </w:r>
      <w:r>
        <w:rPr>
          <w:rStyle w:val="None"/>
          <w:rFonts w:ascii="Poppins Bold" w:hAnsi="Poppins Bold"/>
          <w:sz w:val="18"/>
          <w:szCs w:val="18"/>
        </w:rPr>
        <w:t>terrorism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offence </w:t>
      </w:r>
    </w:p>
    <w:p w14:paraId="1D6B1ABB" w14:textId="77777777" w:rsidR="00EB38CE" w:rsidRDefault="00A158FB">
      <w:pPr>
        <w:pStyle w:val="Body"/>
        <w:numPr>
          <w:ilvl w:val="1"/>
          <w:numId w:val="7"/>
        </w:numPr>
        <w:shd w:val="clear" w:color="auto" w:fill="FFFFFF"/>
        <w:suppressAutoHyphens/>
        <w:spacing w:after="120" w:line="240" w:lineRule="auto"/>
        <w:rPr>
          <w:rFonts w:ascii="Poppins Regular" w:hAnsi="Poppins Regular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to which Part 4 of the Counter-Terrorism Act 2008 applies   </w:t>
      </w:r>
    </w:p>
    <w:p w14:paraId="30ED2EEF" w14:textId="77777777" w:rsidR="00EB38CE" w:rsidRDefault="00A158FB">
      <w:pPr>
        <w:pStyle w:val="Body"/>
        <w:numPr>
          <w:ilvl w:val="1"/>
          <w:numId w:val="7"/>
        </w:numPr>
        <w:shd w:val="clear" w:color="auto" w:fill="FFFFFF"/>
        <w:suppressAutoHyphens/>
        <w:spacing w:before="120" w:line="240" w:lineRule="auto"/>
        <w:rPr>
          <w:rFonts w:ascii="Poppins Regular" w:hAnsi="Poppins Regular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under sections 13 or 19 of the Terrorism Act 2000                  </w:t>
      </w:r>
    </w:p>
    <w:p w14:paraId="162E46BE" w14:textId="77777777" w:rsidR="00EB38CE" w:rsidRDefault="00A158FB">
      <w:pPr>
        <w:pStyle w:val="Body"/>
        <w:numPr>
          <w:ilvl w:val="0"/>
          <w:numId w:val="5"/>
        </w:numPr>
        <w:shd w:val="clear" w:color="auto" w:fill="FFFFFF"/>
        <w:suppressAutoHyphens/>
        <w:spacing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a </w:t>
      </w:r>
      <w:r>
        <w:rPr>
          <w:rStyle w:val="None"/>
          <w:rFonts w:ascii="Poppins Bold" w:hAnsi="Poppins Bold"/>
          <w:sz w:val="18"/>
          <w:szCs w:val="18"/>
          <w:lang w:val="en-US"/>
        </w:rPr>
        <w:t>money laundering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offence within the meaning of section 415 of the Proceeds of Crime Act 2002   </w:t>
      </w:r>
    </w:p>
    <w:p w14:paraId="085C982E" w14:textId="77777777" w:rsidR="00EB38CE" w:rsidRDefault="00A158FB">
      <w:pPr>
        <w:pStyle w:val="Body"/>
        <w:numPr>
          <w:ilvl w:val="0"/>
          <w:numId w:val="5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a </w:t>
      </w:r>
      <w:r>
        <w:rPr>
          <w:rStyle w:val="None"/>
          <w:rFonts w:ascii="Poppins Bold" w:hAnsi="Poppins Bold"/>
          <w:sz w:val="18"/>
          <w:szCs w:val="18"/>
          <w:lang w:val="en-US"/>
        </w:rPr>
        <w:t>bribery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offence under sections 1, 2, 6 or 7 of the Bribery Act 2010   </w:t>
      </w:r>
    </w:p>
    <w:p w14:paraId="6346D62E" w14:textId="77777777" w:rsidR="00EB38CE" w:rsidRDefault="00A158FB">
      <w:pPr>
        <w:pStyle w:val="Body"/>
        <w:numPr>
          <w:ilvl w:val="0"/>
          <w:numId w:val="5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an offence of </w:t>
      </w:r>
      <w:r>
        <w:rPr>
          <w:rStyle w:val="None"/>
          <w:rFonts w:ascii="Poppins Bold" w:hAnsi="Poppins Bold"/>
          <w:sz w:val="18"/>
          <w:szCs w:val="18"/>
          <w:lang w:val="en-US"/>
        </w:rPr>
        <w:t>contravening a Commission Order or Direction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under section 77 of the Charities Act 2011  </w:t>
      </w:r>
    </w:p>
    <w:p w14:paraId="2F9388C4" w14:textId="5EE479C9" w:rsidR="00EB38CE" w:rsidRDefault="00A158FB">
      <w:pPr>
        <w:pStyle w:val="Body"/>
        <w:numPr>
          <w:ilvl w:val="0"/>
          <w:numId w:val="5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an offence of </w:t>
      </w:r>
      <w:r>
        <w:rPr>
          <w:rStyle w:val="None"/>
          <w:rFonts w:ascii="Poppins Bold" w:hAnsi="Poppins Bold"/>
          <w:sz w:val="18"/>
          <w:szCs w:val="18"/>
          <w:lang w:val="en-US"/>
        </w:rPr>
        <w:t>misconduct in public office, perjury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or </w:t>
      </w:r>
      <w:r>
        <w:rPr>
          <w:rStyle w:val="None"/>
          <w:rFonts w:ascii="Poppins Bold" w:hAnsi="Poppins Bold"/>
          <w:sz w:val="18"/>
          <w:szCs w:val="18"/>
          <w:lang w:val="en-US"/>
        </w:rPr>
        <w:t>perverting the course of justice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yes/no</w:t>
      </w:r>
    </w:p>
    <w:p w14:paraId="49F289D0" w14:textId="69E042BE" w:rsidR="00EB38CE" w:rsidRDefault="00A158FB">
      <w:pPr>
        <w:pStyle w:val="Body"/>
        <w:numPr>
          <w:ilvl w:val="0"/>
          <w:numId w:val="5"/>
        </w:numPr>
        <w:suppressAutoHyphens/>
        <w:spacing w:line="247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In relation to the above offences, an offence </w:t>
      </w:r>
      <w:proofErr w:type="gramStart"/>
      <w:r>
        <w:rPr>
          <w:rStyle w:val="None"/>
          <w:rFonts w:ascii="Poppins Regular" w:hAnsi="Poppins Regular"/>
          <w:sz w:val="18"/>
          <w:szCs w:val="18"/>
          <w:lang w:val="en-US"/>
        </w:rPr>
        <w:t>of:</w:t>
      </w:r>
      <w:proofErr w:type="gramEnd"/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attempt, conspiracy, or incitement to commit the offence; aiding, or abetting, counselling or procuring the commission of the offence; or, under Part 2 of the Serious Crime Act 2007(encouraging or assisting) in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relation to the offence   </w:t>
      </w:r>
    </w:p>
    <w:p w14:paraId="789DDCC1" w14:textId="7DF6BA69" w:rsidR="00EB38CE" w:rsidRDefault="00A158FB">
      <w:pPr>
        <w:pStyle w:val="Body"/>
        <w:numPr>
          <w:ilvl w:val="0"/>
          <w:numId w:val="8"/>
        </w:numPr>
        <w:suppressAutoHyphens/>
        <w:spacing w:line="247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are </w:t>
      </w:r>
      <w:r>
        <w:rPr>
          <w:rStyle w:val="None"/>
          <w:rFonts w:ascii="Poppins Bold" w:hAnsi="Poppins Bold"/>
          <w:sz w:val="18"/>
          <w:szCs w:val="18"/>
          <w:lang w:val="en-US"/>
        </w:rPr>
        <w:t>on the sex offenders register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(</w:t>
      </w:r>
      <w:proofErr w:type="gramStart"/>
      <w:r>
        <w:rPr>
          <w:rStyle w:val="None"/>
          <w:rFonts w:ascii="Poppins Regular" w:hAnsi="Poppins Regular"/>
          <w:sz w:val="18"/>
          <w:szCs w:val="18"/>
          <w:lang w:val="en-US"/>
        </w:rPr>
        <w:t>i.e.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>.</w:t>
      </w:r>
      <w:proofErr w:type="gramEnd"/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subject to notification requirements of Part 2 of the Sexual Offences Act 2003)   </w:t>
      </w:r>
    </w:p>
    <w:p w14:paraId="5B2AE367" w14:textId="0CB03BC1" w:rsidR="00EB38CE" w:rsidRDefault="00A158FB">
      <w:pPr>
        <w:pStyle w:val="Body"/>
        <w:numPr>
          <w:ilvl w:val="0"/>
          <w:numId w:val="3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have an unspent sanction for </w:t>
      </w:r>
      <w:r>
        <w:rPr>
          <w:rStyle w:val="None"/>
          <w:rFonts w:ascii="Poppins Bold" w:hAnsi="Poppins Bold"/>
          <w:sz w:val="18"/>
          <w:szCs w:val="18"/>
          <w:lang w:val="en-US"/>
        </w:rPr>
        <w:t>contempt of court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for making, or causing to be made, a false statement or for making,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or causing to be made, a false statement in a document verified by a statement of truth  </w:t>
      </w:r>
    </w:p>
    <w:p w14:paraId="1762DA09" w14:textId="77777777" w:rsidR="00EB38CE" w:rsidRDefault="00A158FB">
      <w:pPr>
        <w:pStyle w:val="Body"/>
        <w:numPr>
          <w:ilvl w:val="0"/>
          <w:numId w:val="3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have been found guilty of </w:t>
      </w:r>
      <w:r>
        <w:rPr>
          <w:rStyle w:val="None"/>
          <w:rFonts w:ascii="Poppins Bold" w:hAnsi="Poppins Bold"/>
          <w:sz w:val="18"/>
          <w:szCs w:val="18"/>
          <w:lang w:val="en-US"/>
        </w:rPr>
        <w:t>disobedience to an order or direction of the Commission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under section 336(1) of the Charities Act 2011. </w:t>
      </w:r>
    </w:p>
    <w:p w14:paraId="46534929" w14:textId="77777777" w:rsidR="00EB38CE" w:rsidRDefault="00A158FB">
      <w:pPr>
        <w:pStyle w:val="Body"/>
        <w:numPr>
          <w:ilvl w:val="0"/>
          <w:numId w:val="3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are </w:t>
      </w:r>
      <w:r>
        <w:rPr>
          <w:rStyle w:val="None"/>
          <w:rFonts w:ascii="Poppins Bold" w:hAnsi="Poppins Bold"/>
          <w:sz w:val="18"/>
          <w:szCs w:val="18"/>
          <w:lang w:val="en-US"/>
        </w:rPr>
        <w:t>a designated person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for the purposes of Part 1 of the Terrorist Asset-Freezing etc. Act 2010, or the Al Qaida (Asset Freezing) Regulations 2011. </w:t>
      </w:r>
    </w:p>
    <w:p w14:paraId="042A8516" w14:textId="77777777" w:rsidR="00EB38CE" w:rsidRDefault="00A158FB">
      <w:pPr>
        <w:pStyle w:val="Body"/>
        <w:numPr>
          <w:ilvl w:val="0"/>
          <w:numId w:val="3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have </w:t>
      </w:r>
      <w:r>
        <w:rPr>
          <w:rStyle w:val="None"/>
          <w:rFonts w:ascii="Poppins Bold" w:hAnsi="Poppins Bold"/>
          <w:sz w:val="18"/>
          <w:szCs w:val="18"/>
          <w:lang w:val="en-US"/>
        </w:rPr>
        <w:t>previously been removed as an officer, agent or employee of a charity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by the Charity Commission, the Scottish charity regulator, or the High Court due to misconduct or mismanagement  </w:t>
      </w:r>
    </w:p>
    <w:p w14:paraId="6E4052A3" w14:textId="77777777" w:rsidR="00EB38CE" w:rsidRDefault="00A158FB">
      <w:pPr>
        <w:pStyle w:val="Body"/>
        <w:numPr>
          <w:ilvl w:val="0"/>
          <w:numId w:val="3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have </w:t>
      </w:r>
      <w:r>
        <w:rPr>
          <w:rStyle w:val="None"/>
          <w:rFonts w:ascii="Poppins Bold" w:hAnsi="Poppins Bold"/>
          <w:sz w:val="18"/>
          <w:szCs w:val="18"/>
          <w:lang w:val="en-US"/>
        </w:rPr>
        <w:t>previously been removed as a trustee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of a charity by the Charity Commission, the Scottish charity regulator, or the High Court due to misconduct or mismanagement  </w:t>
      </w:r>
    </w:p>
    <w:p w14:paraId="34AF3984" w14:textId="77777777" w:rsidR="00EB38CE" w:rsidRDefault="00A158FB">
      <w:pPr>
        <w:pStyle w:val="Body"/>
        <w:numPr>
          <w:ilvl w:val="0"/>
          <w:numId w:val="3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have been </w:t>
      </w:r>
      <w:r>
        <w:rPr>
          <w:rStyle w:val="None"/>
          <w:rFonts w:ascii="Poppins Bold" w:hAnsi="Poppins Bold"/>
          <w:sz w:val="18"/>
          <w:szCs w:val="18"/>
          <w:lang w:val="en-US"/>
        </w:rPr>
        <w:t>removed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</w:t>
      </w:r>
      <w:r>
        <w:rPr>
          <w:rStyle w:val="None"/>
          <w:rFonts w:ascii="Poppins Bold" w:hAnsi="Poppins Bold"/>
          <w:sz w:val="18"/>
          <w:szCs w:val="18"/>
          <w:lang w:val="en-US"/>
        </w:rPr>
        <w:t>from management or control of anybody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under section s34(5)(e) of the Charities and Trustee Investment (</w:t>
      </w:r>
      <w:r>
        <w:rPr>
          <w:rStyle w:val="None"/>
          <w:rFonts w:ascii="Poppins Bold" w:hAnsi="Poppins Bold"/>
          <w:sz w:val="18"/>
          <w:szCs w:val="18"/>
          <w:lang w:val="en-US"/>
        </w:rPr>
        <w:t>Scotland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) Act 2005 (or earlier legislation) </w:t>
      </w:r>
    </w:p>
    <w:p w14:paraId="413E51FF" w14:textId="3F2838C0" w:rsidR="00EB38CE" w:rsidRDefault="00A158FB">
      <w:pPr>
        <w:pStyle w:val="Body"/>
        <w:numPr>
          <w:ilvl w:val="0"/>
          <w:numId w:val="3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are </w:t>
      </w:r>
      <w:r>
        <w:rPr>
          <w:rStyle w:val="None"/>
          <w:rFonts w:ascii="Poppins Bold" w:hAnsi="Poppins Bold"/>
          <w:sz w:val="18"/>
          <w:szCs w:val="18"/>
          <w:lang w:val="en-US"/>
        </w:rPr>
        <w:t xml:space="preserve">disqualified from being a company director, 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>or have given a disqualification undertaking, and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leave has not been granted (as described in section 180 of the Charities Act) for you to act as director of the charity  </w:t>
      </w:r>
    </w:p>
    <w:p w14:paraId="0EDC83B3" w14:textId="77777777" w:rsidR="00EB38CE" w:rsidRDefault="00A158FB">
      <w:pPr>
        <w:pStyle w:val="Body"/>
        <w:numPr>
          <w:ilvl w:val="0"/>
          <w:numId w:val="9"/>
        </w:numPr>
        <w:shd w:val="clear" w:color="auto" w:fill="FFFFFF"/>
        <w:suppressAutoHyphens/>
        <w:spacing w:after="100" w:line="240" w:lineRule="auto"/>
        <w:rPr>
          <w:rFonts w:ascii="Verdana" w:hAnsi="Verdana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are </w:t>
      </w:r>
      <w:r>
        <w:rPr>
          <w:rStyle w:val="None"/>
          <w:rFonts w:ascii="Poppins Bold" w:hAnsi="Poppins Bold"/>
          <w:sz w:val="18"/>
          <w:szCs w:val="18"/>
          <w:lang w:val="en-US"/>
        </w:rPr>
        <w:t>currently declared bankrupt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(or subject to bankruptcy restrictions or an interim order)  </w:t>
      </w:r>
    </w:p>
    <w:p w14:paraId="3CB51842" w14:textId="77777777" w:rsidR="00EB38CE" w:rsidRDefault="00A158FB">
      <w:pPr>
        <w:pStyle w:val="Body"/>
        <w:numPr>
          <w:ilvl w:val="0"/>
          <w:numId w:val="9"/>
        </w:numPr>
        <w:shd w:val="clear" w:color="auto" w:fill="FFFFFF"/>
        <w:suppressAutoHyphens/>
        <w:spacing w:before="100" w:after="100" w:line="240" w:lineRule="auto"/>
        <w:rPr>
          <w:rFonts w:ascii="Verdana" w:hAnsi="Verdana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lastRenderedPageBreak/>
        <w:t xml:space="preserve">You </w:t>
      </w:r>
      <w:r>
        <w:rPr>
          <w:rStyle w:val="None"/>
          <w:rFonts w:ascii="Poppins Bold" w:hAnsi="Poppins Bold"/>
          <w:sz w:val="18"/>
          <w:szCs w:val="18"/>
          <w:lang w:val="en-US"/>
        </w:rPr>
        <w:t xml:space="preserve">have </w:t>
      </w:r>
      <w:r>
        <w:rPr>
          <w:rStyle w:val="None"/>
          <w:rFonts w:ascii="Poppins Bold" w:hAnsi="Poppins Bold"/>
          <w:sz w:val="18"/>
          <w:szCs w:val="18"/>
          <w:lang w:val="en-US"/>
        </w:rPr>
        <w:t>an individual voluntary arrangement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(IVA) to pay off debts with creditors </w:t>
      </w:r>
    </w:p>
    <w:p w14:paraId="0A707897" w14:textId="72A5AD7F" w:rsidR="00EB38CE" w:rsidRDefault="00A158FB">
      <w:pPr>
        <w:pStyle w:val="Body"/>
        <w:numPr>
          <w:ilvl w:val="0"/>
          <w:numId w:val="10"/>
        </w:numPr>
        <w:shd w:val="clear" w:color="auto" w:fill="FFFFFF"/>
        <w:suppressAutoHyphens/>
        <w:spacing w:before="100" w:after="0" w:line="240" w:lineRule="atLeast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are </w:t>
      </w:r>
      <w:r>
        <w:rPr>
          <w:rStyle w:val="None"/>
          <w:rFonts w:ascii="Poppins Bold" w:hAnsi="Poppins Bold"/>
          <w:sz w:val="18"/>
          <w:szCs w:val="18"/>
          <w:lang w:val="en-US"/>
        </w:rPr>
        <w:t>subject to</w:t>
      </w:r>
      <w:r>
        <w:rPr>
          <w:rStyle w:val="None"/>
          <w:rFonts w:ascii="Poppins Regular" w:hAnsi="Poppins Regular"/>
          <w:sz w:val="18"/>
          <w:szCs w:val="18"/>
        </w:rPr>
        <w:t xml:space="preserve"> 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a moratorium period under </w:t>
      </w:r>
      <w:r>
        <w:rPr>
          <w:rStyle w:val="None"/>
          <w:rFonts w:ascii="Poppins Bold" w:hAnsi="Poppins Bold"/>
          <w:sz w:val="18"/>
          <w:szCs w:val="18"/>
          <w:lang w:val="en-US"/>
        </w:rPr>
        <w:t>a debt relief order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>, or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a debt relief restrictions order,  or an interim order    </w:t>
      </w:r>
    </w:p>
    <w:p w14:paraId="17CEFFD1" w14:textId="77777777" w:rsidR="00EB38CE" w:rsidRDefault="00A158FB">
      <w:pPr>
        <w:pStyle w:val="Body"/>
        <w:numPr>
          <w:ilvl w:val="0"/>
          <w:numId w:val="3"/>
        </w:numPr>
        <w:shd w:val="clear" w:color="auto" w:fill="FFFFFF"/>
        <w:suppressAutoHyphens/>
        <w:spacing w:before="100" w:after="0" w:line="240" w:lineRule="atLeast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>You are subject to an order made under s.429(2) of the Insolvency Act 1986. (</w:t>
      </w:r>
      <w:r>
        <w:rPr>
          <w:rStyle w:val="None"/>
          <w:rFonts w:ascii="Poppins Bold" w:hAnsi="Poppins Bold"/>
          <w:sz w:val="18"/>
          <w:szCs w:val="18"/>
          <w:lang w:val="en-US"/>
        </w:rPr>
        <w:t>Failure to pay under a County Court Administration Orde</w:t>
      </w:r>
      <w:bookmarkEnd w:id="1"/>
      <w:bookmarkEnd w:id="0"/>
      <w:r>
        <w:rPr>
          <w:rStyle w:val="None"/>
          <w:rFonts w:ascii="Poppins Bold" w:hAnsi="Poppins Bold"/>
          <w:sz w:val="18"/>
          <w:szCs w:val="18"/>
          <w:lang w:val="en-US"/>
        </w:rPr>
        <w:t>r</w:t>
      </w:r>
    </w:p>
    <w:sectPr w:rsidR="00EB38CE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6291D" w14:textId="77777777" w:rsidR="00A158FB" w:rsidRDefault="00A158FB">
      <w:r>
        <w:separator/>
      </w:r>
    </w:p>
  </w:endnote>
  <w:endnote w:type="continuationSeparator" w:id="0">
    <w:p w14:paraId="410108C4" w14:textId="77777777" w:rsidR="00A158FB" w:rsidRDefault="00A1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 Regular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Bold">
    <w:altName w:val="Poppins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B2220" w14:textId="77777777" w:rsidR="00EB38CE" w:rsidRDefault="00EB38C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B0FD8" w14:textId="77777777" w:rsidR="00EB38CE" w:rsidRDefault="00A158FB">
      <w:r>
        <w:separator/>
      </w:r>
    </w:p>
  </w:footnote>
  <w:footnote w:type="continuationSeparator" w:id="0">
    <w:p w14:paraId="7EDB65D5" w14:textId="77777777" w:rsidR="00EB38CE" w:rsidRDefault="00A158FB">
      <w:r>
        <w:continuationSeparator/>
      </w:r>
    </w:p>
  </w:footnote>
  <w:footnote w:type="continuationNotice" w:id="1">
    <w:p w14:paraId="136EFA5C" w14:textId="77777777" w:rsidR="00EB38CE" w:rsidRDefault="00EB38CE"/>
  </w:footnote>
  <w:footnote w:id="2">
    <w:p w14:paraId="0F57499B" w14:textId="77777777" w:rsidR="00EB38CE" w:rsidRDefault="00A158FB">
      <w:pPr>
        <w:pStyle w:val="FootnoteText"/>
      </w:pPr>
      <w:r>
        <w:rPr>
          <w:rStyle w:val="None"/>
          <w:rFonts w:ascii="Poppins Regular" w:eastAsia="Poppins Regular" w:hAnsi="Poppins Regular" w:cs="Poppins Regular"/>
          <w:color w:val="201547"/>
          <w:u w:val="single" w:color="201547"/>
          <w:vertAlign w:val="superscript"/>
        </w:rPr>
        <w:footnoteRef/>
      </w:r>
      <w:r>
        <w:rPr>
          <w:rStyle w:val="None"/>
          <w:rFonts w:eastAsia="Arial Unicode MS" w:cs="Arial Unicode MS"/>
        </w:rPr>
        <w:t xml:space="preserve"> </w:t>
      </w:r>
      <w:hyperlink r:id="rId1" w:history="1">
        <w:r>
          <w:rPr>
            <w:rStyle w:val="Hyperlink1"/>
            <w:rFonts w:eastAsia="Arial Unicode MS" w:cs="Arial Unicode MS"/>
          </w:rPr>
          <w:t>https://www.gov.uk/guidance/automatic-disqualification-rules-for-charity-trustees-and-charity-senior-positions</w:t>
        </w:r>
      </w:hyperlink>
    </w:p>
  </w:footnote>
  <w:footnote w:id="3">
    <w:p w14:paraId="22AF75DC" w14:textId="77777777" w:rsidR="00EB38CE" w:rsidRDefault="00A158FB">
      <w:pPr>
        <w:pStyle w:val="FootnoteText"/>
      </w:pPr>
      <w:r>
        <w:rPr>
          <w:rStyle w:val="None"/>
          <w:rFonts w:ascii="Poppins Regular" w:eastAsia="Poppins Regular" w:hAnsi="Poppins Regular" w:cs="Poppins Regular"/>
          <w:color w:val="201547"/>
          <w:u w:val="single" w:color="201547"/>
          <w:vertAlign w:val="superscript"/>
        </w:rPr>
        <w:footnoteRef/>
      </w:r>
      <w:r>
        <w:rPr>
          <w:rStyle w:val="None"/>
          <w:rFonts w:eastAsia="Arial Unicode MS" w:cs="Arial Unicode MS"/>
        </w:rPr>
        <w:t xml:space="preserve"> </w:t>
      </w:r>
      <w:hyperlink r:id="rId2" w:history="1">
        <w:r>
          <w:rPr>
            <w:rStyle w:val="Hyperlink1"/>
            <w:rFonts w:eastAsia="Arial Unicode MS" w:cs="Arial Unicode MS"/>
          </w:rPr>
          <w:t>https://www.gov.uk/guidance/automatic-disqualification-rules-for-charity-trustees-and-charity-senior-positions#apply-waiver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398F1" w14:textId="77777777" w:rsidR="00EB38CE" w:rsidRDefault="00EB38C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326E0"/>
    <w:multiLevelType w:val="hybridMultilevel"/>
    <w:tmpl w:val="CECADBF4"/>
    <w:numStyleLink w:val="ImportedStyle30"/>
  </w:abstractNum>
  <w:abstractNum w:abstractNumId="1" w15:restartNumberingAfterBreak="0">
    <w:nsid w:val="3AEB1569"/>
    <w:multiLevelType w:val="hybridMultilevel"/>
    <w:tmpl w:val="27A65776"/>
    <w:lvl w:ilvl="0" w:tplc="C526C1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DEE0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2292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305E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E092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763E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6E7E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C61A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E47A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C1645FA"/>
    <w:multiLevelType w:val="hybridMultilevel"/>
    <w:tmpl w:val="926CA7FE"/>
    <w:styleLink w:val="ImportedStyle2"/>
    <w:lvl w:ilvl="0" w:tplc="43683DB0">
      <w:start w:val="1"/>
      <w:numFmt w:val="decimal"/>
      <w:lvlText w:val="%1."/>
      <w:lvlJc w:val="left"/>
      <w:pPr>
        <w:ind w:left="8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19DED710">
      <w:start w:val="1"/>
      <w:numFmt w:val="decimal"/>
      <w:lvlText w:val="%2."/>
      <w:lvlJc w:val="left"/>
      <w:pPr>
        <w:ind w:left="11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714700C">
      <w:start w:val="1"/>
      <w:numFmt w:val="decimal"/>
      <w:lvlText w:val="%3."/>
      <w:lvlJc w:val="left"/>
      <w:pPr>
        <w:ind w:left="18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ED989980">
      <w:start w:val="1"/>
      <w:numFmt w:val="decimal"/>
      <w:lvlText w:val="%4."/>
      <w:lvlJc w:val="left"/>
      <w:pPr>
        <w:ind w:left="26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317A6B8C">
      <w:start w:val="1"/>
      <w:numFmt w:val="decimal"/>
      <w:lvlText w:val="%5."/>
      <w:lvlJc w:val="left"/>
      <w:pPr>
        <w:ind w:left="3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75585394">
      <w:start w:val="1"/>
      <w:numFmt w:val="decimal"/>
      <w:lvlText w:val="%6."/>
      <w:lvlJc w:val="left"/>
      <w:pPr>
        <w:ind w:left="40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ABE64AEA">
      <w:start w:val="1"/>
      <w:numFmt w:val="decimal"/>
      <w:lvlText w:val="%7."/>
      <w:lvlJc w:val="left"/>
      <w:pPr>
        <w:ind w:left="47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509263BA">
      <w:start w:val="1"/>
      <w:numFmt w:val="decimal"/>
      <w:lvlText w:val="%8."/>
      <w:lvlJc w:val="left"/>
      <w:pPr>
        <w:ind w:left="54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6C602106">
      <w:start w:val="1"/>
      <w:numFmt w:val="decimal"/>
      <w:lvlText w:val="%9."/>
      <w:lvlJc w:val="left"/>
      <w:pPr>
        <w:ind w:left="62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4F535F21"/>
    <w:multiLevelType w:val="hybridMultilevel"/>
    <w:tmpl w:val="A4E42B72"/>
    <w:styleLink w:val="ImportedStyle3"/>
    <w:lvl w:ilvl="0" w:tplc="17DCCA08">
      <w:start w:val="1"/>
      <w:numFmt w:val="lowerLetter"/>
      <w:lvlText w:val="%1)"/>
      <w:lvlJc w:val="left"/>
      <w:pPr>
        <w:ind w:left="11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278710C">
      <w:start w:val="1"/>
      <w:numFmt w:val="lowerLetter"/>
      <w:lvlText w:val="%2)"/>
      <w:lvlJc w:val="left"/>
      <w:pPr>
        <w:ind w:left="11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7AFA3C38">
      <w:start w:val="1"/>
      <w:numFmt w:val="lowerLetter"/>
      <w:lvlText w:val="%3)"/>
      <w:lvlJc w:val="left"/>
      <w:pPr>
        <w:ind w:left="18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89D665A2">
      <w:start w:val="1"/>
      <w:numFmt w:val="lowerLetter"/>
      <w:lvlText w:val="%4)"/>
      <w:lvlJc w:val="left"/>
      <w:pPr>
        <w:ind w:left="26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79426D98">
      <w:start w:val="1"/>
      <w:numFmt w:val="lowerLetter"/>
      <w:lvlText w:val="%5)"/>
      <w:lvlJc w:val="left"/>
      <w:pPr>
        <w:ind w:left="3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C1E8134">
      <w:start w:val="1"/>
      <w:numFmt w:val="lowerLetter"/>
      <w:lvlText w:val="%6)"/>
      <w:lvlJc w:val="left"/>
      <w:pPr>
        <w:ind w:left="40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29D2E5C4">
      <w:start w:val="1"/>
      <w:numFmt w:val="lowerLetter"/>
      <w:lvlText w:val="%7)"/>
      <w:lvlJc w:val="left"/>
      <w:pPr>
        <w:ind w:left="47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2E8143E">
      <w:start w:val="1"/>
      <w:numFmt w:val="lowerLetter"/>
      <w:lvlText w:val="%8)"/>
      <w:lvlJc w:val="left"/>
      <w:pPr>
        <w:ind w:left="54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CE02E25C">
      <w:start w:val="1"/>
      <w:numFmt w:val="lowerLetter"/>
      <w:lvlText w:val="%9)"/>
      <w:lvlJc w:val="left"/>
      <w:pPr>
        <w:ind w:left="62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 w15:restartNumberingAfterBreak="0">
    <w:nsid w:val="50EA6487"/>
    <w:multiLevelType w:val="hybridMultilevel"/>
    <w:tmpl w:val="A4E42B72"/>
    <w:numStyleLink w:val="ImportedStyle3"/>
  </w:abstractNum>
  <w:abstractNum w:abstractNumId="5" w15:restartNumberingAfterBreak="0">
    <w:nsid w:val="653C0092"/>
    <w:multiLevelType w:val="hybridMultilevel"/>
    <w:tmpl w:val="926CA7FE"/>
    <w:numStyleLink w:val="ImportedStyle2"/>
  </w:abstractNum>
  <w:abstractNum w:abstractNumId="6" w15:restartNumberingAfterBreak="0">
    <w:nsid w:val="68DB6CAD"/>
    <w:multiLevelType w:val="hybridMultilevel"/>
    <w:tmpl w:val="CECADBF4"/>
    <w:styleLink w:val="ImportedStyle30"/>
    <w:lvl w:ilvl="0" w:tplc="A2C4AFAE">
      <w:start w:val="1"/>
      <w:numFmt w:val="bullet"/>
      <w:lvlText w:val="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349A44">
      <w:start w:val="1"/>
      <w:numFmt w:val="bullet"/>
      <w:lvlText w:val="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DE1994">
      <w:start w:val="1"/>
      <w:numFmt w:val="bullet"/>
      <w:lvlText w:val="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0C4C9E">
      <w:start w:val="1"/>
      <w:numFmt w:val="bullet"/>
      <w:lvlText w:val="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64ABDE">
      <w:start w:val="1"/>
      <w:numFmt w:val="bullet"/>
      <w:lvlText w:val="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26FE16">
      <w:start w:val="1"/>
      <w:numFmt w:val="bullet"/>
      <w:lvlText w:val="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16337E">
      <w:start w:val="1"/>
      <w:numFmt w:val="bullet"/>
      <w:lvlText w:val="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76B902">
      <w:start w:val="1"/>
      <w:numFmt w:val="bullet"/>
      <w:lvlText w:val="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ACE448">
      <w:start w:val="1"/>
      <w:numFmt w:val="bullet"/>
      <w:lvlText w:val="."/>
      <w:lvlJc w:val="left"/>
      <w:pPr>
        <w:ind w:left="684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26208339">
    <w:abstractNumId w:val="1"/>
  </w:num>
  <w:num w:numId="2" w16cid:durableId="701593890">
    <w:abstractNumId w:val="2"/>
  </w:num>
  <w:num w:numId="3" w16cid:durableId="595015527">
    <w:abstractNumId w:val="5"/>
  </w:num>
  <w:num w:numId="4" w16cid:durableId="353574759">
    <w:abstractNumId w:val="3"/>
  </w:num>
  <w:num w:numId="5" w16cid:durableId="735012941">
    <w:abstractNumId w:val="4"/>
  </w:num>
  <w:num w:numId="6" w16cid:durableId="1539976045">
    <w:abstractNumId w:val="6"/>
  </w:num>
  <w:num w:numId="7" w16cid:durableId="1524397158">
    <w:abstractNumId w:val="0"/>
  </w:num>
  <w:num w:numId="8" w16cid:durableId="1447770006">
    <w:abstractNumId w:val="5"/>
    <w:lvlOverride w:ilvl="0">
      <w:startOverride w:val="2"/>
    </w:lvlOverride>
  </w:num>
  <w:num w:numId="9" w16cid:durableId="896359307">
    <w:abstractNumId w:val="5"/>
    <w:lvlOverride w:ilvl="0">
      <w:lvl w:ilvl="0" w:tplc="24C87C10">
        <w:start w:val="1"/>
        <w:numFmt w:val="decimal"/>
        <w:lvlText w:val="%1."/>
        <w:lvlJc w:val="left"/>
        <w:pPr>
          <w:ind w:left="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FFC85184">
        <w:start w:val="1"/>
        <w:numFmt w:val="decimal"/>
        <w:lvlText w:val="%2."/>
        <w:lvlJc w:val="left"/>
        <w:pPr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F54A3E8">
        <w:start w:val="1"/>
        <w:numFmt w:val="decimal"/>
        <w:lvlText w:val="%3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C506F36">
        <w:start w:val="1"/>
        <w:numFmt w:val="decimal"/>
        <w:lvlText w:val="%4."/>
        <w:lvlJc w:val="left"/>
        <w:pPr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E15C3AE4">
        <w:start w:val="1"/>
        <w:numFmt w:val="decimal"/>
        <w:lvlText w:val="%5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B6D0B834">
        <w:start w:val="1"/>
        <w:numFmt w:val="decimal"/>
        <w:lvlText w:val="%6."/>
        <w:lvlJc w:val="left"/>
        <w:pPr>
          <w:ind w:left="4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58ECCBA6">
        <w:start w:val="1"/>
        <w:numFmt w:val="decimal"/>
        <w:lvlText w:val="%7."/>
        <w:lvlJc w:val="left"/>
        <w:pPr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359CF5FE">
        <w:start w:val="1"/>
        <w:numFmt w:val="decimal"/>
        <w:lvlText w:val="%8."/>
        <w:lvlJc w:val="left"/>
        <w:pPr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9622316E">
        <w:start w:val="1"/>
        <w:numFmt w:val="decimal"/>
        <w:lvlText w:val="%9."/>
        <w:lvlJc w:val="left"/>
        <w:pPr>
          <w:ind w:left="62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0" w16cid:durableId="118763709">
    <w:abstractNumId w:val="5"/>
    <w:lvlOverride w:ilvl="0">
      <w:lvl w:ilvl="0" w:tplc="24C87C10">
        <w:start w:val="1"/>
        <w:numFmt w:val="decimal"/>
        <w:lvlText w:val="%1."/>
        <w:lvlJc w:val="left"/>
        <w:pPr>
          <w:ind w:left="74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FFC85184">
        <w:start w:val="1"/>
        <w:numFmt w:val="decimal"/>
        <w:lvlText w:val="%2."/>
        <w:lvlJc w:val="left"/>
        <w:pPr>
          <w:ind w:left="110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BF54A3E8">
        <w:start w:val="1"/>
        <w:numFmt w:val="decimal"/>
        <w:lvlText w:val="%3."/>
        <w:lvlJc w:val="left"/>
        <w:pPr>
          <w:ind w:left="182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8C506F36">
        <w:start w:val="1"/>
        <w:numFmt w:val="decimal"/>
        <w:lvlText w:val="%4."/>
        <w:lvlJc w:val="left"/>
        <w:pPr>
          <w:ind w:left="254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E15C3AE4">
        <w:start w:val="1"/>
        <w:numFmt w:val="decimal"/>
        <w:lvlText w:val="%5."/>
        <w:lvlJc w:val="left"/>
        <w:pPr>
          <w:ind w:left="326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B6D0B834">
        <w:start w:val="1"/>
        <w:numFmt w:val="decimal"/>
        <w:lvlText w:val="%6."/>
        <w:lvlJc w:val="left"/>
        <w:pPr>
          <w:ind w:left="398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58ECCBA6">
        <w:start w:val="1"/>
        <w:numFmt w:val="decimal"/>
        <w:lvlText w:val="%7."/>
        <w:lvlJc w:val="left"/>
        <w:pPr>
          <w:ind w:left="470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359CF5FE">
        <w:start w:val="1"/>
        <w:numFmt w:val="decimal"/>
        <w:lvlText w:val="%8."/>
        <w:lvlJc w:val="left"/>
        <w:pPr>
          <w:ind w:left="542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9622316E">
        <w:start w:val="1"/>
        <w:numFmt w:val="decimal"/>
        <w:lvlText w:val="%9."/>
        <w:lvlJc w:val="left"/>
        <w:pPr>
          <w:ind w:left="614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CE"/>
    <w:rsid w:val="00A158FB"/>
    <w:rsid w:val="00CF45DC"/>
    <w:rsid w:val="00EB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10E2"/>
  <w15:docId w15:val="{AB869CF1-7441-48F1-9D1D-CFEB4EFE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Aptos" w:eastAsia="Aptos" w:hAnsi="Aptos" w:cs="Apto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Poppins Regular" w:eastAsia="Poppins Regular" w:hAnsi="Poppins Regular" w:cs="Poppins Regular"/>
      <w:outline w:val="0"/>
      <w:color w:val="201547"/>
      <w:u w:val="single" w:color="201547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pPr>
      <w:suppressAutoHyphens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Hyperlink1">
    <w:name w:val="Hyperlink.1"/>
    <w:basedOn w:val="Hyperlink"/>
    <w:rPr>
      <w:outline w:val="0"/>
      <w:color w:val="0563C1"/>
      <w:u w:val="single" w:color="0563C1"/>
    </w:rPr>
  </w:style>
  <w:style w:type="paragraph" w:styleId="ListParagraph">
    <w:name w:val="List Paragraph"/>
    <w:pPr>
      <w:spacing w:after="160" w:line="259" w:lineRule="auto"/>
      <w:ind w:left="720"/>
    </w:pPr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4"/>
      </w:numPr>
    </w:pPr>
  </w:style>
  <w:style w:type="numbering" w:customStyle="1" w:styleId="ImportedStyle30">
    <w:name w:val="Imported Style 3.0"/>
    <w:pPr>
      <w:numPr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automatic-disqualification-rules-for-charity-trustees-and-charity-senior-positions%23apply-waive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automatic-disqualification-rules-for-charity-trustees-and-charity-senior-posi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guidance/automatic-disqualification-rules-for-charity-trustees-and-charity-senior-positions%23apply-waiver" TargetMode="External"/><Relationship Id="rId1" Type="http://schemas.openxmlformats.org/officeDocument/2006/relationships/hyperlink" Target="https://www.gov.uk/guidance/automatic-disqualification-rules-for-charity-trustees-and-charity-senior-positions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09439E2A1E44DAED1B59B26D80391" ma:contentTypeVersion="18" ma:contentTypeDescription="Create a new document." ma:contentTypeScope="" ma:versionID="dddc80170fa08cf86af79ed31dc158d0">
  <xsd:schema xmlns:xsd="http://www.w3.org/2001/XMLSchema" xmlns:xs="http://www.w3.org/2001/XMLSchema" xmlns:p="http://schemas.microsoft.com/office/2006/metadata/properties" xmlns:ns2="4345818c-49f4-4417-8e5b-6dbf6b4a201b" xmlns:ns3="29884129-d294-422e-8b81-0d450582aa90" targetNamespace="http://schemas.microsoft.com/office/2006/metadata/properties" ma:root="true" ma:fieldsID="4ab59b8685f3673918c28f5c6adb496e" ns2:_="" ns3:_="">
    <xsd:import namespace="4345818c-49f4-4417-8e5b-6dbf6b4a201b"/>
    <xsd:import namespace="29884129-d294-422e-8b81-0d450582a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818c-49f4-4417-8e5b-6dbf6b4a2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d7f0b5-01c0-4e2b-882b-da4c84629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84129-d294-422e-8b81-0d450582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0b2475-c4cd-4bc1-9dc4-0cd06b561a45}" ma:internalName="TaxCatchAll" ma:showField="CatchAllData" ma:web="29884129-d294-422e-8b81-0d450582aa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884129-d294-422e-8b81-0d450582aa90" xsi:nil="true"/>
    <lcf76f155ced4ddcb4097134ff3c332f xmlns="4345818c-49f4-4417-8e5b-6dbf6b4a20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A286B7-512A-43F1-88B5-DEE10C33E846}"/>
</file>

<file path=customXml/itemProps2.xml><?xml version="1.0" encoding="utf-8"?>
<ds:datastoreItem xmlns:ds="http://schemas.openxmlformats.org/officeDocument/2006/customXml" ds:itemID="{0F27D8F1-7F60-4B0E-AB0A-AB5D45834D55}"/>
</file>

<file path=customXml/itemProps3.xml><?xml version="1.0" encoding="utf-8"?>
<ds:datastoreItem xmlns:ds="http://schemas.openxmlformats.org/officeDocument/2006/customXml" ds:itemID="{C012FA12-651D-4B56-9A91-DD1FDD2C1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3149</Characters>
  <Application>Microsoft Office Word</Application>
  <DocSecurity>4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 Taffetani</dc:creator>
  <cp:lastModifiedBy>Maxine Taffetani</cp:lastModifiedBy>
  <cp:revision>2</cp:revision>
  <dcterms:created xsi:type="dcterms:W3CDTF">2024-06-19T20:36:00Z</dcterms:created>
  <dcterms:modified xsi:type="dcterms:W3CDTF">2024-06-19T20:36:00Z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0x01010002509439E2A1E44DAED1B59B26D80391</vt:lpwstr>
  </property>
  <property fmtid="{D5CDD505-2E9C-101B-9397-08002B2CF9AE}" pid="3" name="MediaServiceImageTags">
    <vt:lpwstr/>
  </property>
</Properties>
</file>